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9E9" w:rsidRPr="002853BF" w:rsidRDefault="008669A6" w:rsidP="00B22F4F">
      <w:pPr>
        <w:pStyle w:val="1"/>
        <w:rPr>
          <w:rFonts w:ascii="Times New Roman" w:hAnsi="Times New Roman"/>
          <w:b w:val="0"/>
          <w:bCs w:val="0"/>
          <w:sz w:val="28"/>
          <w:szCs w:val="28"/>
        </w:rPr>
      </w:pPr>
      <w:r w:rsidRPr="002853BF">
        <w:rPr>
          <w:rFonts w:ascii="Times New Roman" w:hAnsi="Times New Roman"/>
          <w:sz w:val="28"/>
          <w:szCs w:val="28"/>
        </w:rPr>
        <w:t xml:space="preserve"> </w:t>
      </w:r>
      <w:r w:rsidR="00E51E76" w:rsidRPr="002853BF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25606285" wp14:editId="7DB05244">
            <wp:extent cx="9620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9E9" w:rsidRPr="002853BF" w:rsidRDefault="002869E9" w:rsidP="00B22F4F">
      <w:pPr>
        <w:pStyle w:val="1"/>
        <w:rPr>
          <w:rFonts w:ascii="Times New Roman" w:hAnsi="Times New Roman"/>
          <w:b w:val="0"/>
          <w:bCs w:val="0"/>
          <w:sz w:val="28"/>
          <w:szCs w:val="28"/>
        </w:rPr>
      </w:pPr>
      <w:r w:rsidRPr="002853BF">
        <w:rPr>
          <w:rFonts w:ascii="Times New Roman" w:hAnsi="Times New Roman"/>
          <w:b w:val="0"/>
          <w:bCs w:val="0"/>
          <w:sz w:val="28"/>
          <w:szCs w:val="28"/>
        </w:rPr>
        <w:t>ДРУЖИНИНСКОЕ ГОРОДСКОЕ ПОСЕЛЕНИЕ</w:t>
      </w:r>
    </w:p>
    <w:p w:rsidR="002869E9" w:rsidRPr="002853BF" w:rsidRDefault="002869E9" w:rsidP="00B22F4F">
      <w:pPr>
        <w:jc w:val="center"/>
        <w:rPr>
          <w:sz w:val="28"/>
          <w:szCs w:val="28"/>
        </w:rPr>
      </w:pPr>
      <w:r w:rsidRPr="002853BF">
        <w:rPr>
          <w:sz w:val="28"/>
          <w:szCs w:val="28"/>
        </w:rPr>
        <w:t>Д У М А</w:t>
      </w:r>
    </w:p>
    <w:p w:rsidR="002869E9" w:rsidRPr="002853BF" w:rsidRDefault="00E51E76" w:rsidP="00B22F4F">
      <w:pPr>
        <w:pStyle w:val="1"/>
        <w:rPr>
          <w:rFonts w:ascii="Times New Roman" w:hAnsi="Times New Roman"/>
          <w:b w:val="0"/>
          <w:bCs w:val="0"/>
          <w:sz w:val="28"/>
          <w:szCs w:val="28"/>
        </w:rPr>
      </w:pPr>
      <w:r w:rsidRPr="002853BF"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F80B56B" wp14:editId="07BCC103">
                <wp:simplePos x="0" y="0"/>
                <wp:positionH relativeFrom="column">
                  <wp:posOffset>-48895</wp:posOffset>
                </wp:positionH>
                <wp:positionV relativeFrom="paragraph">
                  <wp:posOffset>211455</wp:posOffset>
                </wp:positionV>
                <wp:extent cx="617220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16.65pt" to="482.1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ghHEQ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" o:allowincell="f"/>
            </w:pict>
          </mc:Fallback>
        </mc:AlternateContent>
      </w:r>
      <w:r w:rsidR="002853BF">
        <w:rPr>
          <w:rFonts w:ascii="Times New Roman" w:hAnsi="Times New Roman"/>
          <w:b w:val="0"/>
          <w:bCs w:val="0"/>
          <w:sz w:val="28"/>
          <w:szCs w:val="28"/>
          <w:lang w:val="ru-RU"/>
        </w:rPr>
        <w:t>ЧЕТВЕРТЫЙ</w:t>
      </w:r>
      <w:r w:rsidR="00D56EE9" w:rsidRPr="002853BF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2869E9" w:rsidRPr="002853BF">
        <w:rPr>
          <w:rFonts w:ascii="Times New Roman" w:hAnsi="Times New Roman"/>
          <w:b w:val="0"/>
          <w:bCs w:val="0"/>
          <w:sz w:val="28"/>
          <w:szCs w:val="28"/>
        </w:rPr>
        <w:t>СОЗЫВ</w:t>
      </w:r>
    </w:p>
    <w:p w:rsidR="002869E9" w:rsidRPr="002853BF" w:rsidRDefault="002853BF" w:rsidP="00B22F4F">
      <w:pPr>
        <w:jc w:val="center"/>
        <w:rPr>
          <w:smallCaps/>
          <w:sz w:val="28"/>
          <w:szCs w:val="28"/>
        </w:rPr>
      </w:pPr>
      <w:r>
        <w:rPr>
          <w:smallCaps/>
          <w:sz w:val="28"/>
          <w:szCs w:val="28"/>
        </w:rPr>
        <w:t xml:space="preserve">СОРОКОВОЕ </w:t>
      </w:r>
      <w:r w:rsidR="002869E9" w:rsidRPr="002853BF">
        <w:rPr>
          <w:smallCaps/>
          <w:sz w:val="28"/>
          <w:szCs w:val="28"/>
        </w:rPr>
        <w:t>ЗАСЕДАНИЕ</w:t>
      </w:r>
    </w:p>
    <w:p w:rsidR="00655740" w:rsidRPr="002853BF" w:rsidRDefault="00655740" w:rsidP="00B22F4F">
      <w:pPr>
        <w:jc w:val="center"/>
        <w:rPr>
          <w:smallCaps/>
          <w:sz w:val="28"/>
          <w:szCs w:val="28"/>
        </w:rPr>
      </w:pPr>
      <w:r w:rsidRPr="002853BF">
        <w:rPr>
          <w:smallCaps/>
          <w:sz w:val="28"/>
          <w:szCs w:val="28"/>
        </w:rPr>
        <w:t>ВНЕОЧЕРЕДНОЕ</w:t>
      </w:r>
    </w:p>
    <w:p w:rsidR="002869E9" w:rsidRPr="002853BF" w:rsidRDefault="002869E9" w:rsidP="00B22F4F">
      <w:pPr>
        <w:jc w:val="center"/>
        <w:rPr>
          <w:smallCaps/>
          <w:sz w:val="28"/>
          <w:szCs w:val="28"/>
        </w:rPr>
      </w:pPr>
      <w:r w:rsidRPr="002853BF">
        <w:rPr>
          <w:smallCaps/>
          <w:sz w:val="28"/>
          <w:szCs w:val="28"/>
        </w:rPr>
        <w:t>РЕШЕНИЕ</w:t>
      </w:r>
    </w:p>
    <w:p w:rsidR="002869E9" w:rsidRPr="002853BF" w:rsidRDefault="002869E9" w:rsidP="00B22F4F">
      <w:pPr>
        <w:jc w:val="center"/>
        <w:rPr>
          <w:smallCaps/>
          <w:sz w:val="28"/>
          <w:szCs w:val="28"/>
        </w:rPr>
      </w:pPr>
      <w:r w:rsidRPr="002853BF">
        <w:rPr>
          <w:smallCaps/>
          <w:sz w:val="28"/>
          <w:szCs w:val="28"/>
        </w:rPr>
        <w:t xml:space="preserve">                                                                                             </w:t>
      </w:r>
      <w:r w:rsidR="00655740" w:rsidRPr="002853BF">
        <w:rPr>
          <w:smallCaps/>
          <w:sz w:val="28"/>
          <w:szCs w:val="28"/>
        </w:rPr>
        <w:t xml:space="preserve">                         </w:t>
      </w:r>
    </w:p>
    <w:p w:rsidR="005505BD" w:rsidRPr="002853BF" w:rsidRDefault="00D56EE9" w:rsidP="00B22F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75"/>
        </w:tabs>
        <w:rPr>
          <w:b/>
          <w:sz w:val="28"/>
          <w:szCs w:val="28"/>
        </w:rPr>
      </w:pPr>
      <w:r w:rsidRPr="002853BF">
        <w:rPr>
          <w:sz w:val="28"/>
          <w:szCs w:val="28"/>
        </w:rPr>
        <w:t>о</w:t>
      </w:r>
      <w:r w:rsidR="00655740" w:rsidRPr="002853BF">
        <w:rPr>
          <w:sz w:val="28"/>
          <w:szCs w:val="28"/>
        </w:rPr>
        <w:t>т</w:t>
      </w:r>
      <w:r w:rsidR="002853BF">
        <w:rPr>
          <w:sz w:val="28"/>
          <w:szCs w:val="28"/>
        </w:rPr>
        <w:t xml:space="preserve"> 14.11.2019 </w:t>
      </w:r>
      <w:r w:rsidR="00655740" w:rsidRPr="002853BF">
        <w:rPr>
          <w:sz w:val="28"/>
          <w:szCs w:val="28"/>
        </w:rPr>
        <w:t>№</w:t>
      </w:r>
      <w:r w:rsidR="002853BF">
        <w:rPr>
          <w:sz w:val="28"/>
          <w:szCs w:val="28"/>
        </w:rPr>
        <w:t xml:space="preserve"> </w:t>
      </w:r>
      <w:r w:rsidR="00025152">
        <w:rPr>
          <w:sz w:val="28"/>
          <w:szCs w:val="28"/>
        </w:rPr>
        <w:t>186</w:t>
      </w:r>
    </w:p>
    <w:p w:rsidR="002869E9" w:rsidRPr="002853BF" w:rsidRDefault="009E0CDA" w:rsidP="00B22F4F">
      <w:pPr>
        <w:rPr>
          <w:sz w:val="28"/>
          <w:szCs w:val="28"/>
        </w:rPr>
      </w:pPr>
      <w:r w:rsidRPr="002853BF">
        <w:rPr>
          <w:sz w:val="28"/>
          <w:szCs w:val="28"/>
        </w:rPr>
        <w:t>пгт</w:t>
      </w:r>
      <w:r w:rsidR="002869E9" w:rsidRPr="002853BF">
        <w:rPr>
          <w:sz w:val="28"/>
          <w:szCs w:val="28"/>
        </w:rPr>
        <w:t xml:space="preserve"> Дружинино               </w:t>
      </w:r>
    </w:p>
    <w:p w:rsidR="009D7250" w:rsidRPr="002853BF" w:rsidRDefault="009D7250" w:rsidP="00B22F4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9D7250" w:rsidRPr="002853BF" w:rsidRDefault="00D56EE9" w:rsidP="00B22F4F">
      <w:pPr>
        <w:pStyle w:val="ConsPlusTitle"/>
        <w:jc w:val="center"/>
        <w:rPr>
          <w:rFonts w:ascii="Times New Roman" w:hAnsi="Times New Roman" w:cs="Times New Roman"/>
          <w:bCs w:val="0"/>
          <w:i/>
          <w:sz w:val="28"/>
          <w:szCs w:val="28"/>
        </w:rPr>
      </w:pPr>
      <w:r w:rsidRPr="002853BF">
        <w:rPr>
          <w:rFonts w:ascii="Times New Roman" w:hAnsi="Times New Roman" w:cs="Times New Roman"/>
          <w:bCs w:val="0"/>
          <w:i/>
          <w:sz w:val="28"/>
          <w:szCs w:val="28"/>
        </w:rPr>
        <w:t>Об установлении на территории</w:t>
      </w:r>
    </w:p>
    <w:p w:rsidR="009D7250" w:rsidRPr="002853BF" w:rsidRDefault="00785F1D" w:rsidP="00B22F4F">
      <w:pPr>
        <w:pStyle w:val="ConsPlusTitle"/>
        <w:jc w:val="center"/>
        <w:rPr>
          <w:rFonts w:ascii="Times New Roman" w:hAnsi="Times New Roman" w:cs="Times New Roman"/>
          <w:bCs w:val="0"/>
          <w:i/>
          <w:sz w:val="28"/>
          <w:szCs w:val="28"/>
        </w:rPr>
      </w:pPr>
      <w:r w:rsidRPr="002853BF">
        <w:rPr>
          <w:rFonts w:ascii="Times New Roman" w:hAnsi="Times New Roman" w:cs="Times New Roman"/>
          <w:bCs w:val="0"/>
          <w:i/>
          <w:sz w:val="28"/>
          <w:szCs w:val="28"/>
        </w:rPr>
        <w:t xml:space="preserve"> </w:t>
      </w:r>
      <w:r w:rsidR="00D56EE9" w:rsidRPr="002853BF">
        <w:rPr>
          <w:rFonts w:ascii="Times New Roman" w:hAnsi="Times New Roman" w:cs="Times New Roman"/>
          <w:bCs w:val="0"/>
          <w:i/>
          <w:sz w:val="28"/>
          <w:szCs w:val="28"/>
        </w:rPr>
        <w:t>Дружининского городского поселения</w:t>
      </w:r>
      <w:r w:rsidRPr="002853BF">
        <w:rPr>
          <w:rFonts w:ascii="Times New Roman" w:hAnsi="Times New Roman" w:cs="Times New Roman"/>
          <w:bCs w:val="0"/>
          <w:i/>
          <w:sz w:val="28"/>
          <w:szCs w:val="28"/>
        </w:rPr>
        <w:t xml:space="preserve"> </w:t>
      </w:r>
      <w:r w:rsidR="00D56EE9" w:rsidRPr="002853BF">
        <w:rPr>
          <w:rFonts w:ascii="Times New Roman" w:hAnsi="Times New Roman" w:cs="Times New Roman"/>
          <w:bCs w:val="0"/>
          <w:i/>
          <w:sz w:val="28"/>
          <w:szCs w:val="28"/>
        </w:rPr>
        <w:t>налога на имущество физических лиц</w:t>
      </w:r>
      <w:r w:rsidR="00D945C3" w:rsidRPr="002853BF">
        <w:rPr>
          <w:rFonts w:ascii="Times New Roman" w:hAnsi="Times New Roman" w:cs="Times New Roman"/>
          <w:bCs w:val="0"/>
          <w:i/>
          <w:sz w:val="28"/>
          <w:szCs w:val="28"/>
        </w:rPr>
        <w:t xml:space="preserve"> </w:t>
      </w:r>
    </w:p>
    <w:p w:rsidR="009D7250" w:rsidRPr="002853BF" w:rsidRDefault="009D7250" w:rsidP="00B22F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03A37" w:rsidRDefault="00C03A37" w:rsidP="00B22F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частью 2 Налогового кодекса Российской Федерации (в действующей редакции от 29.09.2019), Федеральным законом от 06.10.2003 № 131-ФЗ «Об общих принципах организации местного самоуправления в Российской Федерации», во исполнение закона Свердловской области от 26 марта 2019 года № 23-ОЗ «Об установлении единой даты начала применения на территории Свердловской области порядка определения налоговой базы по налогу на имущество физических лиц исходя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кадастровой стоимости объектов налогообложения по этому налогу», руководствуясь Уставом Дружининского городского поселения, Дума Дружининского городского  поселения</w:t>
      </w:r>
    </w:p>
    <w:p w:rsidR="00C03A37" w:rsidRDefault="00C03A37" w:rsidP="00B22F4F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РЕШИЛА:</w:t>
      </w:r>
    </w:p>
    <w:p w:rsidR="00025152" w:rsidRDefault="00025152" w:rsidP="00B22F4F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C03A37" w:rsidRDefault="00C03A37" w:rsidP="00B22F4F">
      <w:pPr>
        <w:pStyle w:val="ConsPlusNormal"/>
        <w:numPr>
          <w:ilvl w:val="0"/>
          <w:numId w:val="2"/>
        </w:numPr>
        <w:tabs>
          <w:tab w:val="clear" w:pos="720"/>
          <w:tab w:val="num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и ввести в действие с 1 января 2020 года на территории Дружининского городского поселения 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налог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 имущество физических лиц (далее – налог).</w:t>
      </w:r>
    </w:p>
    <w:p w:rsidR="00C03A37" w:rsidRDefault="00C03A37" w:rsidP="00B22F4F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Установить, что налоговая база по налогу на имущество физических лиц в отношении объектов налогообложения определяется исходя из их кадастровой стоимости.</w:t>
      </w:r>
    </w:p>
    <w:p w:rsidR="00C03A37" w:rsidRDefault="00C03A37" w:rsidP="00B22F4F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Установить следующие налоговые ставки по налогу на имущество физических лиц на территории Дружининского городского поселения:</w:t>
      </w:r>
    </w:p>
    <w:p w:rsidR="00C03A37" w:rsidRDefault="00C03A37" w:rsidP="00B22F4F">
      <w:pPr>
        <w:ind w:right="-3"/>
        <w:jc w:val="both"/>
        <w:rPr>
          <w:rFonts w:ascii="Liberation Serif" w:hAnsi="Liberation Serif"/>
          <w:sz w:val="8"/>
          <w:szCs w:val="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8"/>
        <w:gridCol w:w="2126"/>
      </w:tblGrid>
      <w:tr w:rsidR="00C03A37" w:rsidTr="00C03A3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A37" w:rsidRDefault="00C03A37" w:rsidP="00B22F4F">
            <w:pPr>
              <w:ind w:left="-108" w:right="-108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Объекты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A37" w:rsidRDefault="00C03A37" w:rsidP="00B22F4F">
            <w:pPr>
              <w:ind w:left="-108" w:right="-108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Ставка налога, процентов</w:t>
            </w:r>
          </w:p>
        </w:tc>
      </w:tr>
      <w:tr w:rsidR="00C03A37" w:rsidTr="00C03A3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37" w:rsidRDefault="00C03A37" w:rsidP="00B22F4F">
            <w:pPr>
              <w:ind w:right="-108" w:firstLine="426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1) 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37" w:rsidRDefault="00C03A37" w:rsidP="00B22F4F">
            <w:pPr>
              <w:ind w:right="-108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0,3</w:t>
            </w:r>
          </w:p>
        </w:tc>
      </w:tr>
      <w:tr w:rsidR="00C03A37" w:rsidTr="00C03A3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37" w:rsidRDefault="00C03A37" w:rsidP="00B22F4F">
            <w:pPr>
              <w:ind w:right="-108" w:firstLine="426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2) Машино - место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37" w:rsidRDefault="00C03A37" w:rsidP="00B22F4F">
            <w:pPr>
              <w:ind w:right="-108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0,3</w:t>
            </w:r>
          </w:p>
        </w:tc>
      </w:tr>
      <w:tr w:rsidR="00C03A37" w:rsidTr="00C03A3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37" w:rsidRDefault="00C03A37" w:rsidP="00B22F4F">
            <w:pPr>
              <w:ind w:right="-108" w:firstLine="426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3) 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37" w:rsidRDefault="00C03A37" w:rsidP="00B22F4F">
            <w:pPr>
              <w:ind w:right="-108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0,2</w:t>
            </w:r>
          </w:p>
        </w:tc>
      </w:tr>
      <w:tr w:rsidR="00C03A37" w:rsidTr="00C03A3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37" w:rsidRDefault="00C03A37" w:rsidP="00B22F4F">
            <w:pPr>
              <w:tabs>
                <w:tab w:val="left" w:pos="6690"/>
              </w:tabs>
              <w:ind w:right="171" w:firstLine="426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4) Комната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37" w:rsidRDefault="00C03A37" w:rsidP="00B22F4F">
            <w:pPr>
              <w:ind w:right="-108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0,3</w:t>
            </w:r>
          </w:p>
        </w:tc>
      </w:tr>
      <w:tr w:rsidR="00C03A37" w:rsidTr="00C03A3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37" w:rsidRDefault="00C03A37" w:rsidP="00B22F4F">
            <w:pPr>
              <w:tabs>
                <w:tab w:val="left" w:pos="6690"/>
              </w:tabs>
              <w:ind w:right="171" w:firstLine="426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5) Жилой дом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37" w:rsidRDefault="00C03A37" w:rsidP="00B22F4F">
            <w:pPr>
              <w:ind w:right="-108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0,3</w:t>
            </w:r>
          </w:p>
        </w:tc>
      </w:tr>
      <w:tr w:rsidR="00C03A37" w:rsidTr="00C03A3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37" w:rsidRDefault="00C03A37" w:rsidP="00B22F4F">
            <w:pPr>
              <w:tabs>
                <w:tab w:val="left" w:pos="6690"/>
              </w:tabs>
              <w:ind w:right="171" w:firstLine="426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6) ОНС (Жилой дом)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37" w:rsidRDefault="00C03A37" w:rsidP="00B22F4F">
            <w:pPr>
              <w:ind w:right="-108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0,3</w:t>
            </w:r>
          </w:p>
        </w:tc>
      </w:tr>
      <w:tr w:rsidR="00C03A37" w:rsidTr="00C03A3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37" w:rsidRDefault="00C03A37" w:rsidP="00B22F4F">
            <w:pPr>
              <w:tabs>
                <w:tab w:val="left" w:pos="6690"/>
              </w:tabs>
              <w:ind w:right="171" w:firstLine="426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7) Часть жилого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37" w:rsidRDefault="00C03A37" w:rsidP="00B22F4F">
            <w:pPr>
              <w:ind w:right="-108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0,3</w:t>
            </w:r>
          </w:p>
        </w:tc>
      </w:tr>
      <w:tr w:rsidR="00C03A37" w:rsidTr="00C03A3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37" w:rsidRDefault="00C03A37" w:rsidP="00B22F4F">
            <w:pPr>
              <w:ind w:right="-108" w:firstLine="426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8) Прочие объекты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37" w:rsidRDefault="00C03A37" w:rsidP="00B22F4F">
            <w:pPr>
              <w:ind w:right="-108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0,5</w:t>
            </w:r>
          </w:p>
        </w:tc>
      </w:tr>
      <w:tr w:rsidR="00C03A37" w:rsidTr="00C03A37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37" w:rsidRDefault="00C03A37" w:rsidP="00B22F4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    9)</w:t>
            </w:r>
            <w:r>
              <w:t> </w:t>
            </w:r>
            <w:r>
              <w:rPr>
                <w:rFonts w:ascii="Liberation Serif" w:hAnsi="Liberation Serif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бъекты налогообложения, включенных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рублей;</w:t>
            </w:r>
          </w:p>
          <w:p w:rsidR="00C03A37" w:rsidRDefault="00C03A37" w:rsidP="00B22F4F">
            <w:pPr>
              <w:ind w:right="-108" w:firstLine="426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37" w:rsidRDefault="00C03A37" w:rsidP="00B22F4F">
            <w:pPr>
              <w:ind w:right="-108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2,0</w:t>
            </w:r>
          </w:p>
        </w:tc>
      </w:tr>
    </w:tbl>
    <w:p w:rsidR="00C03A37" w:rsidRDefault="00C03A37" w:rsidP="00B22F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Налогоплательщики уплачивают налог на имущество физических лиц в порядке и в сроки, установленные главой 32 Налогового кодекса Российской Федерации.</w:t>
      </w:r>
    </w:p>
    <w:p w:rsidR="00C03A37" w:rsidRDefault="00C03A37" w:rsidP="00B22F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для граждан, имеющих в собственности имущество, являющегося объектом налогообложения на территории Дружининского городского поселения, льготы, установленные статьей 407 Налогового кодекса Российской Федерации, действуют в полном объеме.</w:t>
      </w:r>
    </w:p>
    <w:p w:rsidR="00C03A37" w:rsidRDefault="00C03A37" w:rsidP="00B22F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Физические лица, имеющие право на налоговые льготы, установленные законодательством о налогах и сборах, представляют в налоговый орган по своему выбору </w:t>
      </w:r>
      <w:hyperlink r:id="rId8" w:anchor="dst100021" w:history="1">
        <w:r>
          <w:rPr>
            <w:rStyle w:val="a3"/>
            <w:sz w:val="28"/>
            <w:szCs w:val="28"/>
          </w:rPr>
          <w:t>заявление</w:t>
        </w:r>
      </w:hyperlink>
      <w:r>
        <w:rPr>
          <w:sz w:val="28"/>
          <w:szCs w:val="28"/>
        </w:rPr>
        <w:t> о предоставлении налоговой льготы, а также вправе представить </w:t>
      </w:r>
      <w:hyperlink r:id="rId9" w:anchor="dst100003" w:history="1">
        <w:r>
          <w:rPr>
            <w:rStyle w:val="a3"/>
            <w:sz w:val="28"/>
            <w:szCs w:val="28"/>
          </w:rPr>
          <w:t>документы</w:t>
        </w:r>
      </w:hyperlink>
      <w:r>
        <w:rPr>
          <w:sz w:val="28"/>
          <w:szCs w:val="28"/>
        </w:rPr>
        <w:t>, подтверждающие право налогоплательщика на налоговую льготу.</w:t>
      </w:r>
    </w:p>
    <w:p w:rsidR="00C03A37" w:rsidRDefault="00C03A37" w:rsidP="00B22F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Решение вступает в силу с 1 января 2020 года.</w:t>
      </w:r>
    </w:p>
    <w:p w:rsidR="00C03A37" w:rsidRDefault="00C03A37" w:rsidP="00B22F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Настоящее Решение опубликовать (обнародовать) в печатном издании «Информационный вестник Дружининского городского поселения» и на официальном сайте Думы Дружининского городского поселения в сети Интернет.</w:t>
      </w:r>
    </w:p>
    <w:p w:rsidR="00C03A37" w:rsidRDefault="00C03A37" w:rsidP="00B22F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3A37" w:rsidRDefault="00C03A37" w:rsidP="00B22F4F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Дружининского </w:t>
      </w:r>
    </w:p>
    <w:p w:rsidR="00C03A37" w:rsidRDefault="00C03A37" w:rsidP="00B22F4F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            Г.Ю. Вавилин</w:t>
      </w:r>
    </w:p>
    <w:p w:rsidR="00C03A37" w:rsidRDefault="00C03A37" w:rsidP="00B22F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03A37" w:rsidRDefault="00C03A37" w:rsidP="00B22F4F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:rsidR="00C03A37" w:rsidRDefault="00C03A37" w:rsidP="00B22F4F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Дружининского городского поселения                                                        В.Ю. Болотов</w:t>
      </w:r>
    </w:p>
    <w:p w:rsidR="00455F08" w:rsidRPr="002853BF" w:rsidRDefault="00455F08" w:rsidP="00B22F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55F08" w:rsidRPr="002853BF" w:rsidSect="009058AD">
      <w:pgSz w:w="11906" w:h="16838"/>
      <w:pgMar w:top="1134" w:right="567" w:bottom="142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46F76"/>
    <w:multiLevelType w:val="hybridMultilevel"/>
    <w:tmpl w:val="B6903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F1D"/>
    <w:rsid w:val="0000360B"/>
    <w:rsid w:val="00025152"/>
    <w:rsid w:val="000C2E2E"/>
    <w:rsid w:val="00101277"/>
    <w:rsid w:val="00150ED1"/>
    <w:rsid w:val="00180B38"/>
    <w:rsid w:val="00191F71"/>
    <w:rsid w:val="001E511A"/>
    <w:rsid w:val="00217A1C"/>
    <w:rsid w:val="00230ACC"/>
    <w:rsid w:val="002323E9"/>
    <w:rsid w:val="002436B3"/>
    <w:rsid w:val="002522D4"/>
    <w:rsid w:val="002649A9"/>
    <w:rsid w:val="002821CB"/>
    <w:rsid w:val="002853BF"/>
    <w:rsid w:val="002869E9"/>
    <w:rsid w:val="002A00E3"/>
    <w:rsid w:val="002C753C"/>
    <w:rsid w:val="002E08A6"/>
    <w:rsid w:val="00352488"/>
    <w:rsid w:val="00394452"/>
    <w:rsid w:val="003A5777"/>
    <w:rsid w:val="00405760"/>
    <w:rsid w:val="00414093"/>
    <w:rsid w:val="00437B07"/>
    <w:rsid w:val="00455F08"/>
    <w:rsid w:val="004903AA"/>
    <w:rsid w:val="004F0046"/>
    <w:rsid w:val="005028F2"/>
    <w:rsid w:val="005505BD"/>
    <w:rsid w:val="005800C2"/>
    <w:rsid w:val="00585B67"/>
    <w:rsid w:val="005C749A"/>
    <w:rsid w:val="005D168A"/>
    <w:rsid w:val="005F1880"/>
    <w:rsid w:val="005F2AF4"/>
    <w:rsid w:val="005F62F6"/>
    <w:rsid w:val="00624C2A"/>
    <w:rsid w:val="00635348"/>
    <w:rsid w:val="0065426B"/>
    <w:rsid w:val="00655740"/>
    <w:rsid w:val="00655852"/>
    <w:rsid w:val="0067681E"/>
    <w:rsid w:val="006A7D80"/>
    <w:rsid w:val="006B2E12"/>
    <w:rsid w:val="006C2400"/>
    <w:rsid w:val="006D58F1"/>
    <w:rsid w:val="00761973"/>
    <w:rsid w:val="00785F1D"/>
    <w:rsid w:val="00790CDF"/>
    <w:rsid w:val="007B4A79"/>
    <w:rsid w:val="007D50A6"/>
    <w:rsid w:val="007E7446"/>
    <w:rsid w:val="00812880"/>
    <w:rsid w:val="00823540"/>
    <w:rsid w:val="00837688"/>
    <w:rsid w:val="0085575C"/>
    <w:rsid w:val="00857998"/>
    <w:rsid w:val="00862A33"/>
    <w:rsid w:val="008669A6"/>
    <w:rsid w:val="008D75C3"/>
    <w:rsid w:val="008F503F"/>
    <w:rsid w:val="009058AD"/>
    <w:rsid w:val="00923412"/>
    <w:rsid w:val="00934881"/>
    <w:rsid w:val="0094118E"/>
    <w:rsid w:val="009420A1"/>
    <w:rsid w:val="009435AD"/>
    <w:rsid w:val="009441A7"/>
    <w:rsid w:val="009719A1"/>
    <w:rsid w:val="00991DD3"/>
    <w:rsid w:val="009D38AE"/>
    <w:rsid w:val="009D3DB2"/>
    <w:rsid w:val="009D7250"/>
    <w:rsid w:val="009E0CDA"/>
    <w:rsid w:val="00A13EAF"/>
    <w:rsid w:val="00A14622"/>
    <w:rsid w:val="00A64E3E"/>
    <w:rsid w:val="00A76A72"/>
    <w:rsid w:val="00AB2A42"/>
    <w:rsid w:val="00AB563F"/>
    <w:rsid w:val="00AF30D2"/>
    <w:rsid w:val="00B22F4F"/>
    <w:rsid w:val="00B36F71"/>
    <w:rsid w:val="00B52065"/>
    <w:rsid w:val="00B602FB"/>
    <w:rsid w:val="00B77E9C"/>
    <w:rsid w:val="00B8263E"/>
    <w:rsid w:val="00B833FC"/>
    <w:rsid w:val="00B932FA"/>
    <w:rsid w:val="00BB4A71"/>
    <w:rsid w:val="00BB4C23"/>
    <w:rsid w:val="00BC086C"/>
    <w:rsid w:val="00BE58A0"/>
    <w:rsid w:val="00C03A37"/>
    <w:rsid w:val="00C27693"/>
    <w:rsid w:val="00C52B3E"/>
    <w:rsid w:val="00C76753"/>
    <w:rsid w:val="00C77621"/>
    <w:rsid w:val="00C91A09"/>
    <w:rsid w:val="00CA72D5"/>
    <w:rsid w:val="00CC5C8C"/>
    <w:rsid w:val="00CD0638"/>
    <w:rsid w:val="00CE77A4"/>
    <w:rsid w:val="00D00100"/>
    <w:rsid w:val="00D36AFA"/>
    <w:rsid w:val="00D40364"/>
    <w:rsid w:val="00D56EE9"/>
    <w:rsid w:val="00D71463"/>
    <w:rsid w:val="00D81FEE"/>
    <w:rsid w:val="00D83274"/>
    <w:rsid w:val="00D91E72"/>
    <w:rsid w:val="00D945C3"/>
    <w:rsid w:val="00DC7839"/>
    <w:rsid w:val="00E06DF2"/>
    <w:rsid w:val="00E22528"/>
    <w:rsid w:val="00E26E5B"/>
    <w:rsid w:val="00E51E76"/>
    <w:rsid w:val="00E76F2F"/>
    <w:rsid w:val="00E86229"/>
    <w:rsid w:val="00E90900"/>
    <w:rsid w:val="00E93048"/>
    <w:rsid w:val="00E94CED"/>
    <w:rsid w:val="00EA6B06"/>
    <w:rsid w:val="00EB4260"/>
    <w:rsid w:val="00EB5676"/>
    <w:rsid w:val="00EB64DA"/>
    <w:rsid w:val="00EC2D4B"/>
    <w:rsid w:val="00EC56E3"/>
    <w:rsid w:val="00ED4040"/>
    <w:rsid w:val="00EE15E9"/>
    <w:rsid w:val="00F231F7"/>
    <w:rsid w:val="00F46229"/>
    <w:rsid w:val="00F61BA7"/>
    <w:rsid w:val="00F647E8"/>
    <w:rsid w:val="00F7095D"/>
    <w:rsid w:val="00F87301"/>
    <w:rsid w:val="00F875F7"/>
    <w:rsid w:val="00FA0D9C"/>
    <w:rsid w:val="00FB7249"/>
    <w:rsid w:val="00FD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869E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uiPriority w:val="99"/>
    <w:rsid w:val="00150ED1"/>
    <w:rPr>
      <w:color w:val="0000FF"/>
      <w:u w:val="single"/>
    </w:rPr>
  </w:style>
  <w:style w:type="paragraph" w:customStyle="1" w:styleId="a4">
    <w:name w:val="Знак"/>
    <w:basedOn w:val="a"/>
    <w:uiPriority w:val="99"/>
    <w:rsid w:val="00E90900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rsid w:val="00BE58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6C2400"/>
    <w:rPr>
      <w:rFonts w:cs="Times New Roman"/>
    </w:rPr>
  </w:style>
  <w:style w:type="paragraph" w:styleId="a6">
    <w:name w:val="No Spacing"/>
    <w:uiPriority w:val="1"/>
    <w:qFormat/>
    <w:rsid w:val="00D81FEE"/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853B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5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869E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uiPriority w:val="99"/>
    <w:rsid w:val="00150ED1"/>
    <w:rPr>
      <w:color w:val="0000FF"/>
      <w:u w:val="single"/>
    </w:rPr>
  </w:style>
  <w:style w:type="paragraph" w:customStyle="1" w:styleId="a4">
    <w:name w:val="Знак"/>
    <w:basedOn w:val="a"/>
    <w:uiPriority w:val="99"/>
    <w:rsid w:val="00E90900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rsid w:val="00BE58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6C2400"/>
    <w:rPr>
      <w:rFonts w:cs="Times New Roman"/>
    </w:rPr>
  </w:style>
  <w:style w:type="paragraph" w:styleId="a6">
    <w:name w:val="No Spacing"/>
    <w:uiPriority w:val="1"/>
    <w:qFormat/>
    <w:rsid w:val="00D81FEE"/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853B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53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770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2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1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882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3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5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77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6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83982/01897d942d81d3a725b7b958882e711da5e38422/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53718D4E8AF866E53BEAE46E264603EE2C9FFAF341656A81B32D1584EB10AF829A9A6L8y2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281006/96c60c11ee5b73882df84a7de3c4fb18f1a0196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Думы Таборинского сельского поселения от 21.09.2012 N 22"Об установлении и введении в действие на территории Таборинского сельского поселения земельного налога, обязательного к уплате в 2013 году"</vt:lpstr>
    </vt:vector>
  </TitlesOfParts>
  <Company>ConsultantPlus</Company>
  <LinksUpToDate>false</LinksUpToDate>
  <CharactersWithSpaces>3688</CharactersWithSpaces>
  <SharedDoc>false</SharedDoc>
  <HLinks>
    <vt:vector size="6" baseType="variant">
      <vt:variant>
        <vt:i4>262235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consultantplus://offline/ref=153718D4E8AF866E53BEAE46E264603EE2C9FFAF341656A81B32D1584EB10AF829A9A6L8y2J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Думы Таборинского сельского поселения от 21.09.2012 N 22"Об установлении и введении в действие на территории Таборинского сельского поселения земельного налога, обязательного к уплате в 2013 году"</dc:title>
  <dc:subject>__skip</dc:subject>
  <dc:creator>__skip</dc:creator>
  <cp:lastModifiedBy>Специалист</cp:lastModifiedBy>
  <cp:revision>9</cp:revision>
  <cp:lastPrinted>2019-11-15T10:56:00Z</cp:lastPrinted>
  <dcterms:created xsi:type="dcterms:W3CDTF">2019-11-06T04:46:00Z</dcterms:created>
  <dcterms:modified xsi:type="dcterms:W3CDTF">2019-11-15T10:57:00Z</dcterms:modified>
</cp:coreProperties>
</file>